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7C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国卫办基层发〔2024〕22号</w:t>
      </w:r>
    </w:p>
    <w:p w14:paraId="7115EB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</w:p>
    <w:p w14:paraId="370EC3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各省、自治区、直辖市及新疆生产建设兵团卫生健康委、医保局、中医药局、疾控局：   </w:t>
      </w:r>
    </w:p>
    <w:p w14:paraId="1B2036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为深入推进紧密型县域医疗卫生共同体（以下简称县域医共体）建设，促进资源下沉，提升县域和基层服务能力，根据中共中央办公厅、国务院办公厅《关于进一步深化改革促进乡村医疗卫生体系健康发展的意见》《关于进一步完善医疗卫生服务体系的意见》和国家卫生健康委等10部门《关于全面推进紧密型县域医疗卫生共同体建设的指导意见》（国卫基层发〔2023〕41号），国家卫生健康委、国家医保局、国家中医药局、国家疾控局制定了县域医共体监测指标体系，现印发给你们。指标体系供县级开展自评和省市两级开展监测评价，国家对各省份建设情况进行动态监测。各地要加强工作指导，强化结果运用，确保县域医共体建设扎实推进，取得实效。</w:t>
      </w:r>
    </w:p>
    <w:p w14:paraId="52F13A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​</w:t>
      </w:r>
    </w:p>
    <w:p w14:paraId="2479A2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504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25"/>
          <w:szCs w:val="25"/>
          <w:bdr w:val="none" w:color="auto" w:sz="0" w:space="0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25"/>
          <w:szCs w:val="25"/>
          <w:bdr w:val="none" w:color="auto" w:sz="0" w:space="0"/>
        </w:rPr>
        <w:instrText xml:space="preserve"> HYPERLINK "http://100.122.0.161/upload/U0202411/U020241112/U020241112430382663932.pdf" \o "紧密型县域医疗卫生共同体监测指标体系（2024版）.pdf"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25"/>
          <w:szCs w:val="25"/>
          <w:bdr w:val="none" w:color="auto" w:sz="0" w:space="0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25"/>
          <w:szCs w:val="25"/>
          <w:bdr w:val="none" w:color="auto" w:sz="0" w:space="0"/>
        </w:rPr>
        <w:t>紧密型县域医疗卫生共同体监测指标体系（2024版）.pdf</w: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25"/>
          <w:szCs w:val="25"/>
          <w:bdr w:val="none" w:color="auto" w:sz="0" w:space="0"/>
        </w:rPr>
        <w:fldChar w:fldCharType="end"/>
      </w:r>
    </w:p>
    <w:p w14:paraId="28D72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</w:p>
    <w:p w14:paraId="4F551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</w:p>
    <w:p w14:paraId="34ADA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</w:p>
    <w:p w14:paraId="51516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国家卫生健康委办公厅       国家医保局办公室</w:t>
      </w:r>
    </w:p>
    <w:p w14:paraId="7F7461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国家中医药局综合司         国家疾控局综合司</w:t>
      </w:r>
    </w:p>
    <w:p w14:paraId="3439B0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25"/>
          <w:szCs w:val="25"/>
          <w:bdr w:val="none" w:color="auto" w:sz="0" w:space="0"/>
        </w:rPr>
        <w:t>2024年10月30日</w:t>
      </w:r>
    </w:p>
    <w:p w14:paraId="06F9F1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MGJhNWE5YjI0MTFjODYxNjYzNDMyNDAwN2I5MTMifQ=="/>
  </w:docVars>
  <w:rsids>
    <w:rsidRoot w:val="00000000"/>
    <w:rsid w:val="09C007BA"/>
    <w:rsid w:val="2B255E42"/>
    <w:rsid w:val="579E2BC1"/>
    <w:rsid w:val="57C6046C"/>
    <w:rsid w:val="7E9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2024-11-06T09:31:00Z</dcterms:created>
  <dc:creator>卢晓娟</dc:creator>
  <cp:lastModifiedBy>卢晓娟</cp:lastModifiedBy>
  <dcterms:modified xsi:type="dcterms:W3CDTF">2024-11-12T04:02:15Z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AA9DDC9B614C4F0D87F341C8042EBFC0_12</vt:lpwstr>
  </property>
</Properties>
</file>